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0062AC">
        <w:rPr>
          <w:b/>
          <w:sz w:val="24"/>
        </w:rPr>
        <w:t>Qualcomm, Incorporated</w:t>
      </w:r>
    </w:p>
    <w:p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470AAC">
        <w:rPr>
          <w:b/>
          <w:sz w:val="24"/>
        </w:rPr>
        <w:t>Definition of Equivalent Spatial Domain Representation</w:t>
      </w:r>
    </w:p>
    <w:p w:rsidR="00D54E12" w:rsidRPr="006D5CB2" w:rsidRDefault="00D54E12" w:rsidP="0038551D">
      <w:pPr>
        <w:pStyle w:val="Heading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2C2223">
        <w:rPr>
          <w:lang w:val="en-GB"/>
        </w:rPr>
        <w:t>Agreement</w:t>
      </w:r>
      <w:r w:rsidR="00185584" w:rsidRPr="006D5CB2">
        <w:rPr>
          <w:lang w:val="en-GB"/>
        </w:rPr>
        <w:t xml:space="preserve"> </w:t>
      </w:r>
    </w:p>
    <w:p w:rsidR="00D54E12" w:rsidRPr="006D5CB2" w:rsidRDefault="00904F53" w:rsidP="0038551D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0062AC">
        <w:rPr>
          <w:lang w:val="en-GB"/>
        </w:rPr>
        <w:t>10</w:t>
      </w:r>
      <w:r w:rsidR="004F1252">
        <w:rPr>
          <w:lang w:val="en-GB"/>
        </w:rPr>
        <w:t>.6</w:t>
      </w:r>
    </w:p>
    <w:p w:rsidR="004E2448" w:rsidRDefault="004E2448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4E2448" w:rsidRPr="00C50FEB" w:rsidRDefault="004E2448" w:rsidP="00C50FEB">
      <w:pPr>
        <w:pStyle w:val="Heading1"/>
        <w:numPr>
          <w:ilvl w:val="0"/>
          <w:numId w:val="7"/>
        </w:numPr>
        <w:jc w:val="both"/>
        <w:rPr>
          <w:rFonts w:eastAsia="Times New Roman"/>
          <w:b/>
        </w:rPr>
      </w:pPr>
      <w:r w:rsidRPr="00C50FEB">
        <w:rPr>
          <w:rFonts w:eastAsia="Times New Roman"/>
          <w:b/>
        </w:rPr>
        <w:t>Introduction</w:t>
      </w:r>
    </w:p>
    <w:p w:rsidR="00C7092D" w:rsidRPr="00470AAC" w:rsidRDefault="00470AAC" w:rsidP="000062AC">
      <w:pPr>
        <w:rPr>
          <w:lang w:val="en-US"/>
        </w:rPr>
      </w:pPr>
      <w:r>
        <w:rPr>
          <w:lang w:val="en-US"/>
        </w:rPr>
        <w:t xml:space="preserve">At 3GPP TSG SA WG4 it was requested that a definition, or reference, to the term </w:t>
      </w:r>
      <w:r>
        <w:rPr>
          <w:i/>
          <w:lang w:val="en-US"/>
        </w:rPr>
        <w:t>Equivalent Spatial Domain Representation</w:t>
      </w:r>
      <w:r>
        <w:rPr>
          <w:lang w:val="en-US"/>
        </w:rPr>
        <w:t xml:space="preserve"> be provided (see comments in</w:t>
      </w:r>
      <w:sdt>
        <w:sdtPr>
          <w:rPr>
            <w:lang w:val="en-US"/>
          </w:rPr>
          <w:id w:val="-2142875576"/>
          <w:citation/>
        </w:sdtPr>
        <w:sdtContent>
          <w:r w:rsidR="002C2223">
            <w:rPr>
              <w:lang w:val="en-US"/>
            </w:rPr>
            <w:fldChar w:fldCharType="begin"/>
          </w:r>
          <w:r w:rsidR="002C2223">
            <w:rPr>
              <w:lang w:val="en-US"/>
            </w:rPr>
            <w:instrText xml:space="preserve"> CITATION 26260v003 \l 1033 </w:instrText>
          </w:r>
          <w:r w:rsidR="002C2223">
            <w:rPr>
              <w:lang w:val="en-US"/>
            </w:rPr>
            <w:fldChar w:fldCharType="separate"/>
          </w:r>
          <w:r w:rsidR="002C2223">
            <w:rPr>
              <w:noProof/>
              <w:lang w:val="en-US"/>
            </w:rPr>
            <w:t xml:space="preserve"> </w:t>
          </w:r>
          <w:r w:rsidR="002C2223" w:rsidRPr="002C2223">
            <w:rPr>
              <w:noProof/>
              <w:lang w:val="en-US"/>
            </w:rPr>
            <w:t>[1]</w:t>
          </w:r>
          <w:r w:rsidR="002C2223">
            <w:rPr>
              <w:lang w:val="en-US"/>
            </w:rPr>
            <w:fldChar w:fldCharType="end"/>
          </w:r>
        </w:sdtContent>
      </w:sdt>
      <w:r w:rsidR="002C2223">
        <w:rPr>
          <w:lang w:val="en-US"/>
        </w:rPr>
        <w:t>). This contribution provides a definition of the term.</w:t>
      </w:r>
    </w:p>
    <w:p w:rsidR="002C2223" w:rsidRDefault="002C2223" w:rsidP="002C2223">
      <w:pPr>
        <w:pStyle w:val="Heading1"/>
        <w:numPr>
          <w:ilvl w:val="0"/>
          <w:numId w:val="7"/>
        </w:numPr>
        <w:rPr>
          <w:b/>
        </w:rPr>
      </w:pPr>
      <w:r>
        <w:rPr>
          <w:b/>
        </w:rPr>
        <w:t>Definition of Equivalent Spatial Domain R</w:t>
      </w:r>
      <w:r w:rsidRPr="002C2223">
        <w:rPr>
          <w:b/>
        </w:rPr>
        <w:t>epresentation</w:t>
      </w:r>
      <w:r>
        <w:rPr>
          <w:b/>
        </w:rPr>
        <w:t xml:space="preserve"> </w:t>
      </w:r>
    </w:p>
    <w:p w:rsidR="002C2223" w:rsidRDefault="002C2223" w:rsidP="00567826">
      <w:r>
        <w:rPr>
          <w:lang w:val="en-CA"/>
        </w:rPr>
        <w:t>T</w:t>
      </w:r>
      <w:r w:rsidRPr="000A220D">
        <w:t xml:space="preserve">he </w:t>
      </w:r>
      <w:r w:rsidRPr="003D5036">
        <w:t>equivalent spatial domain representation</w:t>
      </w:r>
      <w:r>
        <w:t xml:space="preserve"> of a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N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rPr>
          <w:rFonts w:eastAsiaTheme="minorEastAsia"/>
        </w:rPr>
        <w:t xml:space="preserve">order </w:t>
      </w:r>
      <w:proofErr w:type="spellStart"/>
      <w:r>
        <w:t>soundfield</w:t>
      </w:r>
      <w:proofErr w:type="spellEnd"/>
      <w:r>
        <w:t xml:space="preserve"> representation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 w:rsidRPr="000A220D">
        <w:t xml:space="preserve">is obtained by rendering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 w:rsidRPr="000A220D">
        <w:t xml:space="preserve">to </w:t>
      </w:r>
      <m:oMath>
        <m:r>
          <w:rPr>
            <w:rFonts w:ascii="Cambria Math" w:hAnsi="Cambria Math"/>
          </w:rPr>
          <m:t>O</m:t>
        </m:r>
      </m:oMath>
      <w:r w:rsidRPr="000A220D">
        <w:rPr>
          <w:iCs/>
        </w:rPr>
        <w:t xml:space="preserve"> </w:t>
      </w:r>
      <w:r w:rsidRPr="000A220D">
        <w:t xml:space="preserve">virtual loudspeaker signals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</m:oMath>
      <w:r w:rsidRPr="000A220D">
        <w:t xml:space="preserve">, </w:t>
      </w:r>
      <m:oMath>
        <m:r>
          <m:rPr>
            <m:sty m:val="p"/>
          </m:rPr>
          <w:rPr>
            <w:rFonts w:ascii="Cambria Math" w:hAnsi="Cambria Math"/>
          </w:rPr>
          <m:t>1≤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O</m:t>
        </m:r>
      </m:oMath>
      <w:r>
        <w:t xml:space="preserve"> , with </w:t>
      </w:r>
      <m:oMath>
        <m:r>
          <w:rPr>
            <w:rFonts w:ascii="Cambria Math" w:hAnsi="Cambria Math"/>
          </w:rPr>
          <m:t>O=(N+1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. </w:t>
      </w:r>
      <w:r w:rsidRPr="000A220D">
        <w:t>The respective virtual loudspeaker positions are expressed by means of a spherical coordinate system, where each position lie</w:t>
      </w:r>
      <w:r>
        <w:t>s</w:t>
      </w:r>
      <w:r w:rsidRPr="000A220D">
        <w:t xml:space="preserve"> on the unit sphere, i.e.</w:t>
      </w:r>
      <w:r>
        <w:t>,</w:t>
      </w:r>
      <w:r w:rsidRPr="000A220D">
        <w:t xml:space="preserve"> a radius of 1. Hence, the positions can be </w:t>
      </w:r>
      <w:r>
        <w:t>equivalently expressed by order-</w:t>
      </w:r>
      <w:r w:rsidRPr="000A220D">
        <w:t xml:space="preserve">dependent directions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Ω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=(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  <m:r>
          <w:rPr>
            <w:rFonts w:ascii="Cambria Math" w:hAnsi="Cambria Math"/>
          </w:rPr>
          <m:t>)</m:t>
        </m:r>
        <m:r>
          <m:rPr>
            <m:sty m:val="p"/>
          </m:rPr>
          <w:rPr>
            <w:rFonts w:ascii="Cambria Math" w:hAnsi="Cambria Math"/>
          </w:rPr>
          <m:t>,  1≤</m:t>
        </m:r>
        <m:r>
          <w:rPr>
            <w:rFonts w:ascii="Cambria Math" w:hAnsi="Cambria Math"/>
          </w:rPr>
          <m:t>j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O</m:t>
        </m:r>
      </m:oMath>
      <w:r w:rsidRPr="000A220D"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0A220D"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ϕ</m:t>
            </m:r>
          </m:e>
          <m:sub>
            <m:r>
              <w:rPr>
                <w:rFonts w:ascii="Cambria Math" w:hAnsi="Cambria Math"/>
              </w:rPr>
              <m:t>j</m:t>
            </m:r>
          </m:sub>
          <m:sup>
            <m:r>
              <w:rPr>
                <w:rFonts w:ascii="Cambria Math" w:hAnsi="Cambria Math"/>
              </w:rPr>
              <m:t>(N)</m:t>
            </m:r>
          </m:sup>
        </m:sSubSup>
      </m:oMath>
      <w:r w:rsidRPr="000A220D">
        <w:t xml:space="preserve"> denote the inclinations and azimuths, respectively. These directions are </w:t>
      </w:r>
      <w:r>
        <w:t>defined according to [1].</w:t>
      </w:r>
    </w:p>
    <w:p w:rsidR="002C2223" w:rsidRPr="00F25B9F" w:rsidRDefault="002C2223" w:rsidP="002C2223">
      <w:pPr>
        <w:tabs>
          <w:tab w:val="left" w:pos="1500"/>
          <w:tab w:val="right" w:pos="9500"/>
        </w:tabs>
        <w:rPr>
          <w:noProof/>
        </w:rPr>
      </w:pPr>
      <w:r w:rsidRPr="00F25B9F">
        <w:rPr>
          <w:noProof/>
        </w:rPr>
        <w:t xml:space="preserve">The rendering </w:t>
      </w:r>
      <w:r>
        <w:rPr>
          <w:noProof/>
        </w:rPr>
        <w:t xml:space="preserve">of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  <m:r>
          <w:rPr>
            <w:rFonts w:ascii="Cambria Math" w:hAnsi="Cambria Math"/>
          </w:rPr>
          <m:t xml:space="preserve"> </m:t>
        </m:r>
      </m:oMath>
      <w:r>
        <w:rPr>
          <w:noProof/>
        </w:rPr>
        <w:t xml:space="preserve">into the </w:t>
      </w:r>
      <w:r w:rsidRPr="003B5888">
        <w:t>equivalent spatial domain</w:t>
      </w:r>
      <w:r w:rsidRPr="000A220D">
        <w:rPr>
          <w:b/>
        </w:rPr>
        <w:t xml:space="preserve"> </w:t>
      </w:r>
      <w:r w:rsidRPr="00F25B9F">
        <w:rPr>
          <w:noProof/>
        </w:rPr>
        <w:t xml:space="preserve">can be formulated as a matrix multiplication </w:t>
      </w:r>
    </w:p>
    <w:p w:rsidR="002C2223" w:rsidRPr="00F25B9F" w:rsidRDefault="002C2223" w:rsidP="002C2223">
      <w:pPr>
        <w:autoSpaceDE w:val="0"/>
        <w:autoSpaceDN w:val="0"/>
        <w:adjustRightInd w:val="0"/>
        <w:jc w:val="center"/>
        <w:rPr>
          <w:noProof/>
        </w:rPr>
      </w:pPr>
      <m:oMathPara>
        <m:oMath>
          <m:r>
            <m:rPr>
              <m:sty m:val="b"/>
            </m:rPr>
            <w:rPr>
              <w:rFonts w:ascii="Cambria Math" w:hAnsi="Cambria Math"/>
              <w:noProof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Cambria Math"/>
                          <w:b/>
                          <w:noProof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Cambria Math"/>
                          <w:noProof/>
                        </w:rPr>
                        <m:t>Ψ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noProof/>
                        </w:rPr>
                        <m:t>(</m:t>
                      </m:r>
                      <m:r>
                        <w:rPr>
                          <w:rFonts w:ascii="Cambria Math" w:hAnsi="Cambria Math" w:cs="Cambria Math"/>
                          <w:noProof/>
                        </w:rPr>
                        <m:t>N,N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mbria Math"/>
                          <w:noProof/>
                        </w:rPr>
                        <m:t>)</m:t>
                      </m:r>
                    </m:sup>
                  </m:sSup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-1</m:t>
              </m:r>
            </m:sup>
          </m:sSup>
          <m:r>
            <m:rPr>
              <m:sty m:val="p"/>
            </m:rPr>
            <w:rPr>
              <w:rFonts w:ascii="Cambria Math" w:hAnsi="Cambria Math"/>
              <w:noProof/>
            </w:rPr>
            <m:t>⋅</m:t>
          </m:r>
          <m:r>
            <m:rPr>
              <m:sty m:val="b"/>
            </m:rPr>
            <w:rPr>
              <w:rFonts w:ascii="Cambria Math" w:hAnsi="Cambria Math"/>
              <w:noProof/>
            </w:rPr>
            <m:t>c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,</m:t>
          </m:r>
        </m:oMath>
      </m:oMathPara>
    </w:p>
    <w:p w:rsidR="002C2223" w:rsidRPr="00F25B9F" w:rsidRDefault="002C2223" w:rsidP="002C2223">
      <w:pPr>
        <w:autoSpaceDE w:val="0"/>
        <w:autoSpaceDN w:val="0"/>
        <w:adjustRightInd w:val="0"/>
        <w:rPr>
          <w:noProof/>
        </w:rPr>
      </w:pPr>
    </w:p>
    <w:p w:rsidR="002C2223" w:rsidRDefault="002C2223" w:rsidP="002C2223">
      <w:pPr>
        <w:rPr>
          <w:noProof/>
        </w:rPr>
      </w:pPr>
      <w:r w:rsidRPr="00F25B9F">
        <w:rPr>
          <w:noProof/>
        </w:rPr>
        <w:t xml:space="preserve">where </w:t>
      </w:r>
      <m:oMath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noProof/>
                  </w:rPr>
                </m:ctrlPr>
              </m:dPr>
              <m:e>
                <m:r>
                  <w:rPr>
                    <w:rFonts w:ascii="Cambria Math" w:hAnsi="Cambria Math"/>
                    <w:noProof/>
                  </w:rPr>
                  <m:t>⋅</m:t>
                </m:r>
              </m:e>
            </m:d>
          </m:e>
          <m:sup>
            <m:r>
              <w:rPr>
                <w:rFonts w:ascii="Cambria Math" w:hAnsi="Cambria Math"/>
                <w:noProof/>
              </w:rPr>
              <m:t>-1</m:t>
            </m:r>
          </m:sup>
        </m:sSup>
      </m:oMath>
      <w:r w:rsidRPr="00F25B9F">
        <w:rPr>
          <w:noProof/>
        </w:rPr>
        <w:t xml:space="preserve"> denotes the inversion.</w:t>
      </w:r>
    </w:p>
    <w:p w:rsidR="002C2223" w:rsidRPr="00F25B9F" w:rsidRDefault="002C2223" w:rsidP="002C2223">
      <w:pPr>
        <w:tabs>
          <w:tab w:val="center" w:pos="4800"/>
          <w:tab w:val="right" w:pos="9500"/>
        </w:tabs>
        <w:rPr>
          <w:rFonts w:ascii="Times New Roman" w:hAnsi="Times New Roman"/>
          <w:noProof/>
        </w:rPr>
      </w:pPr>
      <w:r w:rsidRPr="00F25B9F">
        <w:rPr>
          <w:noProof/>
        </w:rPr>
        <w:t xml:space="preserve">The matrix </w:t>
      </w:r>
      <m:oMath>
        <m:sSup>
          <m:sSupPr>
            <m:ctrlPr>
              <w:rPr>
                <w:rFonts w:ascii="Cambria Math" w:hAnsi="Cambria Math"/>
                <w:b/>
                <w:i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Cambria Math"/>
                <w:noProof/>
              </w:rPr>
              <m:t>Ψ</m:t>
            </m:r>
            <m:ctrlPr>
              <w:rPr>
                <w:rFonts w:ascii="Cambria Math" w:hAnsi="Cambria Math" w:cs="Cambria Math"/>
                <w:b/>
                <w:i/>
                <w:noProof/>
              </w:rPr>
            </m:ctrlPr>
          </m:e>
          <m:sup>
            <m:r>
              <m:rPr>
                <m:sty m:val="bi"/>
              </m:rPr>
              <w:rPr>
                <w:rFonts w:ascii="Cambria Math" w:hAnsi="Cambria Math"/>
                <w:noProof/>
              </w:rPr>
              <m:t>(</m:t>
            </m:r>
            <m:r>
              <w:rPr>
                <w:rFonts w:ascii="Cambria Math" w:hAnsi="Cambria Math"/>
                <w:noProof/>
              </w:rPr>
              <m:t>N,N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)</m:t>
            </m:r>
          </m:sup>
        </m:sSup>
      </m:oMath>
      <w:r w:rsidRPr="00F25B9F">
        <w:rPr>
          <w:b/>
          <w:noProof/>
        </w:rPr>
        <w:t xml:space="preserve"> </w:t>
      </w:r>
      <w:r w:rsidRPr="00F25B9F">
        <w:rPr>
          <w:noProof/>
        </w:rPr>
        <w:t xml:space="preserve">of order </w:t>
      </w:r>
      <w:r>
        <w:rPr>
          <w:noProof/>
        </w:rPr>
        <w:t xml:space="preserve">N </w:t>
      </w:r>
      <w:r w:rsidRPr="00F25B9F">
        <w:rPr>
          <w:noProof/>
        </w:rPr>
        <w:t xml:space="preserve"> with respect to the </w:t>
      </w:r>
      <w:r>
        <w:rPr>
          <w:noProof/>
        </w:rPr>
        <w:t xml:space="preserve">order-dependent </w:t>
      </w:r>
      <w:r w:rsidRPr="00F25B9F">
        <w:rPr>
          <w:noProof/>
        </w:rPr>
        <w:t xml:space="preserve">directions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 w:cs="Cambria Math"/>
                <w:noProof/>
              </w:rPr>
              <m:t>Ω</m:t>
            </m:r>
            <m:ctrlPr>
              <w:rPr>
                <w:rFonts w:ascii="Cambria Math" w:hAnsi="Cambria Math" w:cs="Cambria Math"/>
                <w:b/>
                <w:noProof/>
              </w:rPr>
            </m:ctrlPr>
          </m:e>
          <m:sub>
            <m:r>
              <w:rPr>
                <w:rFonts w:ascii="Cambria Math" w:hAnsi="Cambria Math"/>
                <w:noProof/>
              </w:rPr>
              <m:t>j</m:t>
            </m:r>
            <m:ctrlPr>
              <w:rPr>
                <w:rFonts w:ascii="Cambria Math" w:hAnsi="Cambria Math"/>
                <w:i/>
                <w:noProof/>
              </w:rPr>
            </m:ctrlPr>
          </m:sub>
          <m:sup>
            <m:r>
              <w:rPr>
                <w:rFonts w:ascii="Cambria Math" w:hAnsi="Cambria Math"/>
                <w:noProof/>
              </w:rPr>
              <m:t>(N)</m:t>
            </m:r>
          </m:sup>
        </m:sSubSup>
      </m:oMath>
      <w:r w:rsidRPr="00F25B9F">
        <w:rPr>
          <w:noProof/>
        </w:rPr>
        <w:t xml:space="preserve"> is defined by </w:t>
      </w:r>
    </w:p>
    <w:p w:rsidR="002C2223" w:rsidRPr="00F556AB" w:rsidRDefault="002C2223" w:rsidP="002C2223">
      <w:pPr>
        <w:tabs>
          <w:tab w:val="left" w:pos="1500"/>
          <w:tab w:val="right" w:pos="9500"/>
        </w:tabs>
        <w:ind w:firstLine="720"/>
        <w:jc w:val="center"/>
        <w:rPr>
          <w:rFonts w:eastAsiaTheme="minorEastAsia"/>
          <w:noProof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noProof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mbria Math"/>
                  <w:noProof/>
                </w:rPr>
                <m:t>Ψ</m:t>
              </m:r>
              <m:ctrlPr>
                <w:rPr>
                  <w:rFonts w:ascii="Cambria Math" w:hAnsi="Cambria Math" w:cs="Cambria Math"/>
                  <w:b/>
                  <w:i/>
                  <w:noProof/>
                </w:rPr>
              </m:ctrlPr>
            </m:e>
            <m:sup>
              <m:d>
                <m:dPr>
                  <m:ctrlPr>
                    <w:rPr>
                      <w:rFonts w:ascii="Cambria Math" w:hAnsi="Cambria Math"/>
                      <w:b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N,N</m:t>
                  </m:r>
                </m:e>
              </m:d>
            </m:sup>
          </m:sSup>
          <m:r>
            <m:rPr>
              <m:sty m:val="p"/>
            </m:rPr>
            <w:rPr>
              <w:rFonts w:ascii="Cambria Math" w:hAnsi="Cambria Math"/>
              <w:noProof/>
            </w:rPr>
            <m:t>:=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plcHide m:val="1"/>
                  <m:mcs>
                    <m:mc>
                      <m:mcPr>
                        <m:count m:val="4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noProof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/>
                            <w:noProof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</m:d>
                      </m:sup>
                    </m:sSubSup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noProof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/>
                            <w:noProof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</m:d>
                      </m:sup>
                    </m:sSubSup>
                  </m:e>
                  <m:e>
                    <m:r>
                      <w:rPr>
                        <w:rFonts w:ascii="Cambria Math" w:hAnsi="Cambria Math"/>
                      </w:rPr>
                      <m:t>…</m:t>
                    </m:r>
                  </m:e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noProof/>
                          </w:rPr>
                          <m:t>S</m:t>
                        </m:r>
                        <m:ctrlPr>
                          <w:rPr>
                            <w:rFonts w:ascii="Cambria Math" w:hAnsi="Cambria Math"/>
                            <w:b/>
                            <w:noProof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</w:rPr>
                          <m:t>O</m:t>
                        </m: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noProof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</m:d>
                      </m:sup>
                    </m:sSubSup>
                  </m:e>
                </m:mr>
              </m:m>
            </m:e>
          </m:d>
        </m:oMath>
      </m:oMathPara>
    </w:p>
    <w:p w:rsidR="002C2223" w:rsidRPr="00F556AB" w:rsidRDefault="002C2223" w:rsidP="002C2223">
      <w:pPr>
        <w:tabs>
          <w:tab w:val="left" w:pos="1500"/>
          <w:tab w:val="right" w:pos="9500"/>
        </w:tabs>
        <w:rPr>
          <w:rFonts w:eastAsiaTheme="minorEastAsia"/>
          <w:noProof/>
        </w:rPr>
      </w:pPr>
      <w:r w:rsidRPr="00F25B9F">
        <w:rPr>
          <w:noProof/>
        </w:rPr>
        <w:t xml:space="preserve">with </w:t>
      </w:r>
    </w:p>
    <w:p w:rsidR="002C2223" w:rsidRPr="00567826" w:rsidRDefault="002C2223" w:rsidP="00567826">
      <w:pPr>
        <w:tabs>
          <w:tab w:val="left" w:pos="1500"/>
          <w:tab w:val="right" w:pos="9500"/>
        </w:tabs>
        <w:ind w:firstLine="720"/>
        <w:rPr>
          <w:rFonts w:cs="Arial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noProof/>
                </w:rPr>
              </m:ctrlPr>
            </m:sSubSupPr>
            <m:e>
              <m:r>
                <m:rPr>
                  <m:sty m:val="b"/>
                </m:rPr>
                <w:rPr>
                  <w:rFonts w:ascii="Cambria Math" w:hAnsi="Cambria Math" w:cs="Arial"/>
                  <w:noProof/>
                </w:rPr>
                <m:t>S</m:t>
              </m:r>
              <m:ctrlPr>
                <w:rPr>
                  <w:rFonts w:ascii="Cambria Math" w:hAnsi="Cambria Math" w:cs="Arial"/>
                  <w:b/>
                  <w:noProof/>
                </w:rPr>
              </m:ctrlPr>
            </m:e>
            <m:sub>
              <m:r>
                <w:rPr>
                  <w:rFonts w:ascii="Cambria Math" w:hAnsi="Cambria Math" w:cs="Arial"/>
                  <w:noProof/>
                </w:rPr>
                <m:t>j</m:t>
              </m:r>
              <m:ctrlPr>
                <w:rPr>
                  <w:rFonts w:ascii="Cambria Math" w:hAnsi="Cambria Math" w:cs="Arial"/>
                  <w:i/>
                  <w:noProof/>
                </w:rPr>
              </m:ctrlPr>
            </m:sub>
            <m:sup>
              <m:r>
                <w:rPr>
                  <w:rFonts w:ascii="Cambria Math" w:hAnsi="Cambria Math" w:cs="Arial"/>
                  <w:noProof/>
                </w:rPr>
                <m:t>(N)</m:t>
              </m:r>
            </m:sup>
          </m:sSubSup>
          <m:r>
            <m:rPr>
              <m:sty m:val="p"/>
            </m:rPr>
            <w:rPr>
              <w:rFonts w:ascii="Cambria Math" w:hAnsi="Cambria Math" w:cs="Arial"/>
              <w:noProof/>
            </w:rPr>
            <m:t>:=</m:t>
          </m:r>
          <m:sSup>
            <m:sSupPr>
              <m:ctrlPr>
                <w:rPr>
                  <w:rFonts w:ascii="Cambria Math" w:hAnsi="Cambria Math" w:cs="Arial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5"/>
                            <m:mcJc m:val="left"/>
                          </m:mcPr>
                        </m:mc>
                        <m:mc>
                          <m:mcPr>
                            <m:count m:val="1"/>
                            <m:mcJc m:val="center"/>
                          </m:mcPr>
                        </m:mc>
                        <m:mc>
                          <m:mcPr>
                            <m:count m:val="1"/>
                            <m:mcJc m:val="left"/>
                          </m:mcPr>
                        </m:mc>
                      </m:mcs>
                      <m:ctrlPr>
                        <w:rPr>
                          <w:rFonts w:ascii="Cambria Math" w:hAnsi="Cambria Math" w:cs="Arial"/>
                        </w:rPr>
                      </m:ctrlPr>
                    </m:mPr>
                    <m:mr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0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Ω</m:t>
                                </m: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noProof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j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(N)</m:t>
                                </m:r>
                              </m:sup>
                            </m:sSubSup>
                          </m:e>
                        </m:d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-1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-1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Ω</m:t>
                                </m: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noProof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j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(N)</m:t>
                                </m:r>
                              </m:sup>
                            </m:sSubSup>
                          </m:e>
                        </m:d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-1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0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Ω</m:t>
                                </m: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noProof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j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(N)</m:t>
                                </m:r>
                              </m:sup>
                            </m:sSubSup>
                          </m:e>
                        </m:d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-1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1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Ω</m:t>
                                </m: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noProof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j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(N)</m:t>
                                </m:r>
                              </m:sup>
                            </m:sSubSup>
                          </m:e>
                        </m:d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-2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Arial"/>
                                <w:noProof/>
                              </w:rPr>
                              <m:t>-2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Ω</m:t>
                                </m: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noProof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j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(N)</m:t>
                                </m:r>
                              </m:sup>
                            </m:sSubSup>
                          </m:e>
                        </m:d>
                        <m:r>
                          <w:rPr>
                            <w:rFonts w:ascii="Cambria Math" w:hAnsi="Cambria Math" w:cs="Arial"/>
                          </w:rPr>
                          <m:t xml:space="preserve"> </m:t>
                        </m:r>
                      </m:e>
                      <m:e>
                        <m:r>
                          <w:rPr>
                            <w:rFonts w:ascii="Cambria Math" w:eastAsia="Cambria Math" w:hAnsi="Cambria Math" w:cs="Arial"/>
                          </w:rPr>
                          <m:t>…</m:t>
                        </m:r>
                        <m:ctrlPr>
                          <w:rPr>
                            <w:rFonts w:ascii="Cambria Math" w:eastAsia="Cambria Math" w:hAnsi="Cambria Math" w:cs="Arial"/>
                            <w:i/>
                          </w:rPr>
                        </m:ctrlPr>
                      </m:e>
                      <m:e>
                        <m:sSubSup>
                          <m:sSubSup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 w:cs="Arial"/>
                                <w:noProof/>
                              </w:rPr>
                              <m:t>N</m:t>
                            </m:r>
                          </m:sup>
                        </m:sSubSup>
                        <m:d>
                          <m:d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 w:cs="Arial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Ω</m:t>
                                </m:r>
                                <m:ctrlPr>
                                  <w:rPr>
                                    <w:rFonts w:ascii="Cambria Math" w:hAnsi="Cambria Math" w:cs="Arial"/>
                                    <w:b/>
                                    <w:i/>
                                    <w:noProof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j</m:t>
                                </m: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</w:rPr>
                                </m:ctrlPr>
                              </m:sub>
                              <m:sup>
                                <m:r>
                                  <w:rPr>
                                    <w:rFonts w:ascii="Cambria Math" w:hAnsi="Cambria Math" w:cs="Arial"/>
                                    <w:noProof/>
                                  </w:rPr>
                                  <m:t>(N)</m:t>
                                </m:r>
                              </m:sup>
                            </m:sSubSup>
                          </m:e>
                        </m:d>
                      </m:e>
                    </m:mr>
                  </m:m>
                </m:e>
              </m:d>
            </m:e>
            <m:sup>
              <m:r>
                <w:rPr>
                  <w:rFonts w:ascii="Cambria Math" w:hAnsi="Cambria Math" w:cs="Arial"/>
                  <w:noProof/>
                </w:rPr>
                <m:t>T</m:t>
              </m:r>
            </m:sup>
          </m:sSup>
        </m:oMath>
      </m:oMathPara>
    </w:p>
    <w:p w:rsidR="002C2223" w:rsidRDefault="002C2223" w:rsidP="002C2223">
      <w:r>
        <w:t xml:space="preserve">Where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r>
              <w:rPr>
                <w:rFonts w:ascii="Cambria Math" w:hAnsi="Cambria Math" w:cs="Arial"/>
                <w:noProof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</w:rPr>
              <m:t>n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  <w:noProof/>
              </w:rPr>
              <m:t>m</m:t>
            </m:r>
          </m:sup>
        </m:sSubSup>
        <m:d>
          <m:dPr>
            <m:ctrlPr>
              <w:rPr>
                <w:rFonts w:ascii="Cambria Math" w:hAnsi="Cambria Math" w:cs="Arial"/>
              </w:rPr>
            </m:ctrlPr>
          </m:dPr>
          <m:e>
            <m:r>
              <w:rPr>
                <w:rFonts w:ascii="Cambria Math" w:hAnsi="Cambria Math" w:cs="Arial"/>
              </w:rPr>
              <m:t>∙</m:t>
            </m:r>
          </m:e>
        </m:d>
        <m:r>
          <m:rPr>
            <m:sty m:val="p"/>
          </m:rPr>
          <w:rPr>
            <w:rFonts w:ascii="Cambria Math" w:hAnsi="Cambria Math"/>
            <w:noProof/>
          </w:rPr>
          <m:t xml:space="preserve"> represents the </m:t>
        </m:r>
      </m:oMath>
      <w:r w:rsidRPr="00F25B9F">
        <w:rPr>
          <w:noProof/>
        </w:rPr>
        <w:t>real valued spherical harmonics</w:t>
      </w:r>
      <w:r>
        <w:rPr>
          <w:noProof/>
        </w:rPr>
        <w:t xml:space="preserve"> of the order n and degree m.</w:t>
      </w:r>
    </w:p>
    <w:p w:rsidR="002C2223" w:rsidRPr="00F25B9F" w:rsidRDefault="002C2223" w:rsidP="002C2223">
      <w:pPr>
        <w:autoSpaceDE w:val="0"/>
        <w:autoSpaceDN w:val="0"/>
        <w:adjustRightInd w:val="0"/>
        <w:rPr>
          <w:noProof/>
        </w:rPr>
      </w:pPr>
      <w:r>
        <w:rPr>
          <w:noProof/>
        </w:rPr>
        <w:t>T</w:t>
      </w:r>
      <w:r w:rsidRPr="00F25B9F">
        <w:rPr>
          <w:noProof/>
        </w:rPr>
        <w:t xml:space="preserve">he matrix </w:t>
      </w:r>
      <m:oMath>
        <m:sSup>
          <m:sSupPr>
            <m:ctrlPr>
              <w:rPr>
                <w:rFonts w:ascii="Cambria Math" w:hAnsi="Cambria Math" w:cs="Cambria Math"/>
                <w:b/>
                <w:noProof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Cambria Math"/>
                <w:noProof/>
              </w:rPr>
              <m:t>Ψ</m:t>
            </m:r>
          </m:e>
          <m:sup>
            <m:r>
              <m:rPr>
                <m:sty m:val="bi"/>
              </m:rPr>
              <w:rPr>
                <w:rFonts w:ascii="Cambria Math" w:hAnsi="Cambria Math" w:cs="Cambria Math"/>
                <w:noProof/>
              </w:rPr>
              <m:t>(</m:t>
            </m:r>
            <m:r>
              <w:rPr>
                <w:rFonts w:ascii="Cambria Math" w:hAnsi="Cambria Math" w:cs="Cambria Math"/>
                <w:noProof/>
              </w:rPr>
              <m:t>N,N</m:t>
            </m:r>
            <m:r>
              <m:rPr>
                <m:sty m:val="bi"/>
              </m:rPr>
              <w:rPr>
                <w:rFonts w:ascii="Cambria Math" w:hAnsi="Cambria Math" w:cs="Cambria Math"/>
                <w:noProof/>
              </w:rPr>
              <m:t>)</m:t>
            </m:r>
          </m:sup>
        </m:sSup>
      </m:oMath>
      <w:r w:rsidRPr="00F25B9F">
        <w:rPr>
          <w:b/>
          <w:noProof/>
        </w:rPr>
        <w:t xml:space="preserve"> </w:t>
      </w:r>
      <w:r w:rsidRPr="00F25B9F">
        <w:rPr>
          <w:noProof/>
        </w:rPr>
        <w:t xml:space="preserve">is invertible </w:t>
      </w:r>
      <w:r>
        <w:rPr>
          <w:noProof/>
        </w:rPr>
        <w:t xml:space="preserve">so that </w:t>
      </w:r>
      <w:r w:rsidRPr="00F25B9F">
        <w:rPr>
          <w:noProof/>
        </w:rPr>
        <w:t xml:space="preserve">the HOA representation </w:t>
      </w:r>
      <m:oMath>
        <m:r>
          <m:rPr>
            <m:sty m:val="bi"/>
          </m:rPr>
          <w:rPr>
            <w:rFonts w:ascii="Cambria Math" w:hAnsi="Cambria Math"/>
            <w:noProof/>
          </w:rPr>
          <m:t>c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noProof/>
              </w:rPr>
              <m:t>t</m:t>
            </m:r>
          </m:e>
        </m:d>
      </m:oMath>
      <w:r w:rsidRPr="00F25B9F">
        <w:rPr>
          <w:noProof/>
        </w:rPr>
        <w:t xml:space="preserve"> can be </w:t>
      </w:r>
      <w:r>
        <w:rPr>
          <w:noProof/>
        </w:rPr>
        <w:t xml:space="preserve">converted back </w:t>
      </w:r>
      <w:r w:rsidRPr="00F25B9F">
        <w:rPr>
          <w:noProof/>
        </w:rPr>
        <w:t xml:space="preserve">from the </w:t>
      </w:r>
      <w:r w:rsidRPr="003B5888">
        <w:t>equivalent spatial domain</w:t>
      </w:r>
      <w:r w:rsidRPr="000A220D">
        <w:rPr>
          <w:b/>
        </w:rPr>
        <w:t xml:space="preserve"> </w:t>
      </w:r>
      <w:r w:rsidRPr="00F25B9F">
        <w:rPr>
          <w:noProof/>
        </w:rPr>
        <w:t xml:space="preserve">by  </w:t>
      </w:r>
    </w:p>
    <w:p w:rsidR="002C2223" w:rsidRPr="00F25B9F" w:rsidRDefault="002C2223" w:rsidP="002C2223">
      <w:pPr>
        <w:autoSpaceDE w:val="0"/>
        <w:autoSpaceDN w:val="0"/>
        <w:adjustRightInd w:val="0"/>
        <w:rPr>
          <w:noProof/>
        </w:rPr>
      </w:pPr>
    </w:p>
    <w:p w:rsidR="002C2223" w:rsidRPr="002C2223" w:rsidRDefault="002C2223" w:rsidP="00567826">
      <w:pPr>
        <w:autoSpaceDE w:val="0"/>
        <w:autoSpaceDN w:val="0"/>
        <w:adjustRightInd w:val="0"/>
        <w:jc w:val="center"/>
        <w:rPr>
          <w:noProof/>
        </w:rPr>
      </w:pPr>
      <m:oMathPara>
        <m:oMath>
          <m:r>
            <m:rPr>
              <m:sty m:val="bi"/>
            </m:rPr>
            <w:rPr>
              <w:rFonts w:ascii="Cambria Math" w:hAnsi="Cambria Math"/>
              <w:noProof/>
            </w:rPr>
            <m:t>c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=</m:t>
          </m:r>
          <m:sSup>
            <m:sSupPr>
              <m:ctrlPr>
                <w:rPr>
                  <w:rFonts w:ascii="Cambria Math" w:hAnsi="Cambria Math" w:cs="Cambria Math"/>
                  <w:b/>
                  <w:noProof/>
                </w:rPr>
              </m:ctrlPr>
            </m:sSupPr>
            <m:e>
              <m:r>
                <m:rPr>
                  <m:sty m:val="b"/>
                </m:rPr>
                <w:rPr>
                  <w:rFonts w:ascii="Cambria Math" w:hAnsi="Cambria Math" w:cs="Cambria Math"/>
                  <w:noProof/>
                </w:rPr>
                <m:t>Ψ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mbria Math"/>
                  <w:noProof/>
                </w:rPr>
                <m:t>(</m:t>
              </m:r>
              <m:r>
                <w:rPr>
                  <w:rFonts w:ascii="Cambria Math" w:hAnsi="Cambria Math" w:cs="Cambria Math"/>
                  <w:noProof/>
                </w:rPr>
                <m:t>N,N</m:t>
              </m:r>
              <m:r>
                <m:rPr>
                  <m:sty m:val="bi"/>
                </m:rPr>
                <w:rPr>
                  <w:rFonts w:ascii="Cambria Math" w:hAnsi="Cambria Math" w:cs="Cambria Math"/>
                  <w:noProof/>
                </w:rPr>
                <m:t>)</m:t>
              </m:r>
            </m:sup>
          </m:sSup>
          <m:r>
            <m:rPr>
              <m:sty m:val="b"/>
            </m:rPr>
            <w:rPr>
              <w:rFonts w:ascii="Cambria Math" w:hAnsi="Cambria Math" w:cs="Cambria Math"/>
              <w:noProof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noProof/>
            </w:rPr>
            <m:t>⋅</m:t>
          </m:r>
          <m:r>
            <m:rPr>
              <m:sty m:val="b"/>
            </m:rPr>
            <w:rPr>
              <w:rFonts w:ascii="Cambria Math" w:hAnsi="Cambria Math"/>
              <w:noProof/>
            </w:rPr>
            <m:t>w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  <w:noProof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</w:rPr>
            <m:t>⋅</m:t>
          </m:r>
        </m:oMath>
      </m:oMathPara>
    </w:p>
    <w:p w:rsidR="000062AC" w:rsidRPr="000062AC" w:rsidRDefault="000062AC" w:rsidP="000062AC">
      <w:pPr>
        <w:pStyle w:val="Heading2"/>
        <w:numPr>
          <w:ilvl w:val="0"/>
          <w:numId w:val="7"/>
        </w:numPr>
        <w:tabs>
          <w:tab w:val="clear" w:pos="2127"/>
        </w:tabs>
      </w:pPr>
      <w:r>
        <w:t>Proposal</w:t>
      </w:r>
    </w:p>
    <w:p w:rsidR="000062AC" w:rsidRDefault="000062AC">
      <w:pPr>
        <w:rPr>
          <w:lang w:val="en-US"/>
        </w:rPr>
      </w:pPr>
      <w:r>
        <w:rPr>
          <w:lang w:val="en-US"/>
        </w:rPr>
        <w:t xml:space="preserve">The source proposes to include the contents of this contribution to </w:t>
      </w:r>
      <w:r w:rsidR="008A64B8">
        <w:rPr>
          <w:lang w:val="en-US"/>
        </w:rPr>
        <w:t>TS 26.</w:t>
      </w:r>
      <w:r w:rsidR="002C2223">
        <w:rPr>
          <w:lang w:val="en-US"/>
        </w:rPr>
        <w:t>260</w:t>
      </w:r>
      <w:r w:rsidR="008A64B8">
        <w:rPr>
          <w:lang w:val="en-US"/>
        </w:rPr>
        <w:t>.</w:t>
      </w:r>
    </w:p>
    <w:p w:rsidR="00567826" w:rsidRDefault="008A64B8" w:rsidP="004E2448">
      <w:pPr>
        <w:rPr>
          <w:rFonts w:ascii="Times New Roman" w:hAnsi="Times New Roman"/>
          <w:noProof/>
          <w:sz w:val="20"/>
          <w:lang w:val="de-DE" w:eastAsia="de-DE"/>
        </w:rPr>
      </w:pPr>
      <w:r w:rsidRPr="00567826">
        <w:rPr>
          <w:b/>
        </w:rPr>
        <w:t>4</w:t>
      </w:r>
      <w:r>
        <w:t xml:space="preserve">. </w:t>
      </w:r>
      <w:r>
        <w:tab/>
      </w:r>
      <w:r w:rsidR="00D4513D" w:rsidRPr="00567826">
        <w:rPr>
          <w:rStyle w:val="Heading1Char"/>
          <w:b/>
        </w:rPr>
        <w:t>References</w:t>
      </w:r>
      <w:r w:rsidR="00D4513D">
        <w:rPr>
          <w:b/>
          <w:sz w:val="24"/>
        </w:rPr>
        <w:fldChar w:fldCharType="begin"/>
      </w:r>
      <w:r w:rsidR="00D4513D" w:rsidRPr="0070058D">
        <w:instrText xml:space="preserve"> BIBLIOGRAPHY  \l 1031 </w:instrText>
      </w:r>
      <w:r w:rsidR="00D4513D">
        <w:rPr>
          <w:b/>
          <w:sz w:val="24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"/>
        <w:gridCol w:w="9029"/>
      </w:tblGrid>
      <w:tr w:rsidR="00567826">
        <w:trPr>
          <w:divId w:val="408309003"/>
          <w:tblCellSpacing w:w="15" w:type="dxa"/>
        </w:trPr>
        <w:tc>
          <w:tcPr>
            <w:tcW w:w="50" w:type="pct"/>
            <w:hideMark/>
          </w:tcPr>
          <w:p w:rsidR="00567826" w:rsidRDefault="00567826">
            <w:pPr>
              <w:pStyle w:val="Bibliography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:rsidR="00567826" w:rsidRDefault="00567826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Editor, </w:t>
            </w:r>
            <w:r>
              <w:rPr>
                <w:i/>
                <w:iCs/>
                <w:noProof/>
                <w:lang w:val="de-DE"/>
              </w:rPr>
              <w:t xml:space="preserve">26.260 v.0.0.3 Objective Test Methodologies for the Evaluation of Immersive Audio Systems, </w:t>
            </w:r>
            <w:r>
              <w:rPr>
                <w:noProof/>
                <w:lang w:val="de-DE"/>
              </w:rPr>
              <w:t xml:space="preserve">Albuquerque, New Mexico, USA: 3GPP TSG SA4, 2017. </w:t>
            </w:r>
          </w:p>
        </w:tc>
      </w:tr>
      <w:tr w:rsidR="00567826">
        <w:trPr>
          <w:divId w:val="408309003"/>
          <w:tblCellSpacing w:w="15" w:type="dxa"/>
        </w:trPr>
        <w:tc>
          <w:tcPr>
            <w:tcW w:w="50" w:type="pct"/>
            <w:hideMark/>
          </w:tcPr>
          <w:p w:rsidR="00567826" w:rsidRDefault="00567826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:rsidR="00567826" w:rsidRDefault="00567826">
            <w:pPr>
              <w:pStyle w:val="Bibliography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J. Fliege und U. Maier, „A two-stage approach for computing cubature formulae for the sphere,“ Dortmund University, 1999.</w:t>
            </w:r>
          </w:p>
        </w:tc>
      </w:tr>
    </w:tbl>
    <w:p w:rsidR="00567826" w:rsidRPr="004E2448" w:rsidRDefault="00D4513D">
      <w:pPr>
        <w:rPr>
          <w:lang w:val="en-US"/>
        </w:rPr>
      </w:pPr>
      <w:r>
        <w:rPr>
          <w:lang w:val="en-US"/>
        </w:rPr>
        <w:fldChar w:fldCharType="end"/>
      </w:r>
      <w:bookmarkStart w:id="0" w:name="_GoBack"/>
      <w:bookmarkEnd w:id="0"/>
    </w:p>
    <w:sectPr w:rsidR="00567826" w:rsidRPr="004E2448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646" w:rsidRDefault="00245646">
      <w:r>
        <w:separator/>
      </w:r>
    </w:p>
  </w:endnote>
  <w:endnote w:type="continuationSeparator" w:id="0">
    <w:p w:rsidR="00245646" w:rsidRDefault="00245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567826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567826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567826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567826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646" w:rsidRDefault="00245646">
      <w:r>
        <w:separator/>
      </w:r>
    </w:p>
  </w:footnote>
  <w:footnote w:type="continuationSeparator" w:id="0">
    <w:p w:rsidR="00245646" w:rsidRDefault="002456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Default="004435C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35C0" w:rsidRPr="006D0105" w:rsidRDefault="004435C0" w:rsidP="004C2242">
    <w:pPr>
      <w:tabs>
        <w:tab w:val="right" w:pos="9356"/>
      </w:tabs>
      <w:spacing w:after="0"/>
      <w:rPr>
        <w:rFonts w:cs="Arial"/>
        <w:b/>
        <w:i/>
        <w:sz w:val="20"/>
      </w:rPr>
    </w:pPr>
    <w:r w:rsidRPr="006D0105">
      <w:rPr>
        <w:rFonts w:cs="Arial"/>
        <w:sz w:val="20"/>
        <w:lang w:val="en-US"/>
      </w:rPr>
      <w:t>T</w:t>
    </w:r>
    <w:r>
      <w:rPr>
        <w:rFonts w:cs="Arial"/>
        <w:sz w:val="20"/>
        <w:lang w:val="en-US"/>
      </w:rPr>
      <w:t>SG SA4#9</w:t>
    </w:r>
    <w:r w:rsidR="00A45E3D">
      <w:rPr>
        <w:rFonts w:cs="Arial"/>
        <w:sz w:val="20"/>
        <w:lang w:val="en-US"/>
      </w:rPr>
      <w:t>7</w:t>
    </w:r>
    <w:r w:rsidRPr="006D0105">
      <w:rPr>
        <w:rFonts w:cs="Arial"/>
        <w:sz w:val="20"/>
        <w:lang w:val="en-US"/>
      </w:rPr>
      <w:t xml:space="preserve"> meeting</w:t>
    </w:r>
    <w:r w:rsidRPr="006D0105">
      <w:rPr>
        <w:rFonts w:cs="Arial"/>
        <w:b/>
        <w:i/>
        <w:sz w:val="20"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</w:t>
    </w:r>
    <w:r w:rsidR="000062AC" w:rsidRPr="000062AC">
      <w:rPr>
        <w:rFonts w:cs="Arial"/>
        <w:b/>
        <w:i/>
        <w:sz w:val="28"/>
        <w:szCs w:val="28"/>
      </w:rPr>
      <w:t>S4-18014</w:t>
    </w:r>
    <w:r w:rsidR="00470AAC">
      <w:rPr>
        <w:rFonts w:cs="Arial"/>
        <w:b/>
        <w:i/>
        <w:sz w:val="28"/>
        <w:szCs w:val="28"/>
      </w:rPr>
      <w:t>1</w:t>
    </w:r>
  </w:p>
  <w:p w:rsidR="004435C0" w:rsidRPr="006D0105" w:rsidRDefault="00A45E3D" w:rsidP="004C2242">
    <w:pPr>
      <w:tabs>
        <w:tab w:val="right" w:pos="9360"/>
      </w:tabs>
      <w:spacing w:after="0"/>
      <w:rPr>
        <w:rFonts w:cs="Arial"/>
        <w:b/>
        <w:sz w:val="20"/>
        <w:lang w:val="en-US" w:eastAsia="zh-CN"/>
      </w:rPr>
    </w:pPr>
    <w:r>
      <w:rPr>
        <w:rFonts w:cs="Arial"/>
        <w:sz w:val="20"/>
        <w:lang w:eastAsia="zh-CN"/>
      </w:rPr>
      <w:t>05-</w:t>
    </w:r>
    <w:r w:rsidR="00033ADA">
      <w:rPr>
        <w:rFonts w:cs="Arial"/>
        <w:sz w:val="20"/>
        <w:lang w:eastAsia="zh-CN"/>
      </w:rPr>
      <w:t>09</w:t>
    </w:r>
    <w:r w:rsidR="004435C0">
      <w:rPr>
        <w:rFonts w:cs="Arial"/>
        <w:sz w:val="20"/>
        <w:lang w:eastAsia="zh-CN"/>
      </w:rPr>
      <w:t xml:space="preserve"> </w:t>
    </w:r>
    <w:r>
      <w:rPr>
        <w:rFonts w:cs="Arial"/>
        <w:sz w:val="20"/>
        <w:lang w:eastAsia="zh-CN"/>
      </w:rPr>
      <w:t>February</w:t>
    </w:r>
    <w:r w:rsidR="004435C0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Fukuoka</w:t>
    </w:r>
    <w:r w:rsidR="004435C0" w:rsidRPr="00041009">
      <w:rPr>
        <w:rFonts w:cs="Arial"/>
        <w:sz w:val="20"/>
        <w:lang w:eastAsia="zh-CN"/>
      </w:rPr>
      <w:t xml:space="preserve">, </w:t>
    </w:r>
    <w:r>
      <w:rPr>
        <w:rFonts w:cs="Arial"/>
        <w:sz w:val="20"/>
        <w:lang w:eastAsia="zh-CN"/>
      </w:rPr>
      <w:t>Japan</w:t>
    </w:r>
  </w:p>
  <w:p w:rsidR="004435C0" w:rsidRPr="006D0105" w:rsidRDefault="004435C0">
    <w:pPr>
      <w:tabs>
        <w:tab w:val="right" w:pos="9540"/>
      </w:tabs>
      <w:spacing w:after="0"/>
      <w:rPr>
        <w:sz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E94451"/>
    <w:multiLevelType w:val="hybridMultilevel"/>
    <w:tmpl w:val="2CAE67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EE5D92"/>
    <w:multiLevelType w:val="multilevel"/>
    <w:tmpl w:val="EBC440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5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555"/>
    <w:rsid w:val="0000590E"/>
    <w:rsid w:val="000062AC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91A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305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7C3"/>
    <w:rsid w:val="000758D5"/>
    <w:rsid w:val="000758D6"/>
    <w:rsid w:val="00075967"/>
    <w:rsid w:val="00075E72"/>
    <w:rsid w:val="00076B3D"/>
    <w:rsid w:val="00076DB8"/>
    <w:rsid w:val="00076F58"/>
    <w:rsid w:val="000778D6"/>
    <w:rsid w:val="00077A25"/>
    <w:rsid w:val="00077A73"/>
    <w:rsid w:val="000807DB"/>
    <w:rsid w:val="00081BD1"/>
    <w:rsid w:val="000823DF"/>
    <w:rsid w:val="00082CB8"/>
    <w:rsid w:val="00082CF1"/>
    <w:rsid w:val="0008325F"/>
    <w:rsid w:val="00083817"/>
    <w:rsid w:val="00084C6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6C7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1D71"/>
    <w:rsid w:val="000F2168"/>
    <w:rsid w:val="000F2243"/>
    <w:rsid w:val="000F357B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27D"/>
    <w:rsid w:val="001C5688"/>
    <w:rsid w:val="001C62BE"/>
    <w:rsid w:val="001C7901"/>
    <w:rsid w:val="001C7A18"/>
    <w:rsid w:val="001D0EDD"/>
    <w:rsid w:val="001D2D54"/>
    <w:rsid w:val="001D391E"/>
    <w:rsid w:val="001D449C"/>
    <w:rsid w:val="001D4A4E"/>
    <w:rsid w:val="001D513F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10C60"/>
    <w:rsid w:val="00211531"/>
    <w:rsid w:val="00212149"/>
    <w:rsid w:val="002121AC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722E"/>
    <w:rsid w:val="00237FD8"/>
    <w:rsid w:val="0024048F"/>
    <w:rsid w:val="002404D2"/>
    <w:rsid w:val="00240803"/>
    <w:rsid w:val="0024151C"/>
    <w:rsid w:val="00241C2A"/>
    <w:rsid w:val="00241EC8"/>
    <w:rsid w:val="00242072"/>
    <w:rsid w:val="00242AE8"/>
    <w:rsid w:val="002433BD"/>
    <w:rsid w:val="00243682"/>
    <w:rsid w:val="00243A46"/>
    <w:rsid w:val="00243C1A"/>
    <w:rsid w:val="00243EE2"/>
    <w:rsid w:val="00244149"/>
    <w:rsid w:val="0024459B"/>
    <w:rsid w:val="002446CB"/>
    <w:rsid w:val="00245646"/>
    <w:rsid w:val="0024632B"/>
    <w:rsid w:val="002463A4"/>
    <w:rsid w:val="00246966"/>
    <w:rsid w:val="00247EF3"/>
    <w:rsid w:val="00250051"/>
    <w:rsid w:val="00250130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3F13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062"/>
    <w:rsid w:val="00283331"/>
    <w:rsid w:val="00284424"/>
    <w:rsid w:val="00284FA8"/>
    <w:rsid w:val="00286028"/>
    <w:rsid w:val="002860AF"/>
    <w:rsid w:val="002867C9"/>
    <w:rsid w:val="00291732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14D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555C"/>
    <w:rsid w:val="002B6A29"/>
    <w:rsid w:val="002B7932"/>
    <w:rsid w:val="002B7D45"/>
    <w:rsid w:val="002C0785"/>
    <w:rsid w:val="002C1080"/>
    <w:rsid w:val="002C1B44"/>
    <w:rsid w:val="002C1E8E"/>
    <w:rsid w:val="002C2223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785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4E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253"/>
    <w:rsid w:val="00382EAD"/>
    <w:rsid w:val="00383770"/>
    <w:rsid w:val="003838AB"/>
    <w:rsid w:val="00384167"/>
    <w:rsid w:val="003844DC"/>
    <w:rsid w:val="00385047"/>
    <w:rsid w:val="0038551D"/>
    <w:rsid w:val="00385585"/>
    <w:rsid w:val="003857F6"/>
    <w:rsid w:val="0038699E"/>
    <w:rsid w:val="00386CA2"/>
    <w:rsid w:val="00387576"/>
    <w:rsid w:val="0038759D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30E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58A"/>
    <w:rsid w:val="003D13DB"/>
    <w:rsid w:val="003D1787"/>
    <w:rsid w:val="003D197F"/>
    <w:rsid w:val="003D1E7A"/>
    <w:rsid w:val="003D1EA8"/>
    <w:rsid w:val="003D1ECB"/>
    <w:rsid w:val="003D235F"/>
    <w:rsid w:val="003D3073"/>
    <w:rsid w:val="003D3605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41D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5128"/>
    <w:rsid w:val="0041623C"/>
    <w:rsid w:val="00416522"/>
    <w:rsid w:val="00416886"/>
    <w:rsid w:val="00416CBB"/>
    <w:rsid w:val="004202AE"/>
    <w:rsid w:val="0042262B"/>
    <w:rsid w:val="0042362B"/>
    <w:rsid w:val="00423650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732C"/>
    <w:rsid w:val="00450451"/>
    <w:rsid w:val="004516BC"/>
    <w:rsid w:val="0045182B"/>
    <w:rsid w:val="00452506"/>
    <w:rsid w:val="00452C19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AAC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22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D7B4D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404"/>
    <w:rsid w:val="00546549"/>
    <w:rsid w:val="0055063F"/>
    <w:rsid w:val="00551D8C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36B8"/>
    <w:rsid w:val="005659B5"/>
    <w:rsid w:val="00565D2F"/>
    <w:rsid w:val="00565EBC"/>
    <w:rsid w:val="0056619B"/>
    <w:rsid w:val="00566380"/>
    <w:rsid w:val="005663FE"/>
    <w:rsid w:val="00566FED"/>
    <w:rsid w:val="005676E0"/>
    <w:rsid w:val="00567826"/>
    <w:rsid w:val="00570335"/>
    <w:rsid w:val="00570736"/>
    <w:rsid w:val="00570FDF"/>
    <w:rsid w:val="00571ED2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6AEC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CDC"/>
    <w:rsid w:val="005A5D93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B7D83"/>
    <w:rsid w:val="005C007D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2B41"/>
    <w:rsid w:val="005E4074"/>
    <w:rsid w:val="005E4C33"/>
    <w:rsid w:val="005E636C"/>
    <w:rsid w:val="005E6BE5"/>
    <w:rsid w:val="005F0BC8"/>
    <w:rsid w:val="005F0BF8"/>
    <w:rsid w:val="005F115C"/>
    <w:rsid w:val="005F2A41"/>
    <w:rsid w:val="005F3207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591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5DA2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134"/>
    <w:rsid w:val="00630470"/>
    <w:rsid w:val="0063056F"/>
    <w:rsid w:val="00630C14"/>
    <w:rsid w:val="00631BB9"/>
    <w:rsid w:val="00631F26"/>
    <w:rsid w:val="00631F85"/>
    <w:rsid w:val="00632051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5024D"/>
    <w:rsid w:val="00650894"/>
    <w:rsid w:val="006510EF"/>
    <w:rsid w:val="00651EFB"/>
    <w:rsid w:val="00652021"/>
    <w:rsid w:val="00652FDC"/>
    <w:rsid w:val="0065366E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167F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60E4"/>
    <w:rsid w:val="006870E3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701E"/>
    <w:rsid w:val="006B7324"/>
    <w:rsid w:val="006C02F2"/>
    <w:rsid w:val="006C2016"/>
    <w:rsid w:val="006C20A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58D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795"/>
    <w:rsid w:val="00706CB3"/>
    <w:rsid w:val="00706D02"/>
    <w:rsid w:val="007074AD"/>
    <w:rsid w:val="00707672"/>
    <w:rsid w:val="00707838"/>
    <w:rsid w:val="0071019B"/>
    <w:rsid w:val="007101FC"/>
    <w:rsid w:val="00710957"/>
    <w:rsid w:val="00711A83"/>
    <w:rsid w:val="00712674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393F"/>
    <w:rsid w:val="00775421"/>
    <w:rsid w:val="0078012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000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2B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22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1C85"/>
    <w:rsid w:val="00833E4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08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110C"/>
    <w:rsid w:val="0087254F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4B8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7AD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04C6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45CB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1D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A8C"/>
    <w:rsid w:val="00A25BD8"/>
    <w:rsid w:val="00A26071"/>
    <w:rsid w:val="00A26534"/>
    <w:rsid w:val="00A26BEC"/>
    <w:rsid w:val="00A272D1"/>
    <w:rsid w:val="00A305DB"/>
    <w:rsid w:val="00A306D3"/>
    <w:rsid w:val="00A30CA2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3D"/>
    <w:rsid w:val="00A45EF6"/>
    <w:rsid w:val="00A4668A"/>
    <w:rsid w:val="00A46F12"/>
    <w:rsid w:val="00A470D0"/>
    <w:rsid w:val="00A5018E"/>
    <w:rsid w:val="00A50799"/>
    <w:rsid w:val="00A51437"/>
    <w:rsid w:val="00A523BD"/>
    <w:rsid w:val="00A53446"/>
    <w:rsid w:val="00A539AA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3E51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E22"/>
    <w:rsid w:val="00B2407C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4E2"/>
    <w:rsid w:val="00B34596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1C5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3B50"/>
    <w:rsid w:val="00B6416F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C7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4397"/>
    <w:rsid w:val="00C043F9"/>
    <w:rsid w:val="00C04418"/>
    <w:rsid w:val="00C04988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37B"/>
    <w:rsid w:val="00C30E89"/>
    <w:rsid w:val="00C316C5"/>
    <w:rsid w:val="00C32666"/>
    <w:rsid w:val="00C33E56"/>
    <w:rsid w:val="00C3543F"/>
    <w:rsid w:val="00C35AB2"/>
    <w:rsid w:val="00C36DC9"/>
    <w:rsid w:val="00C3754C"/>
    <w:rsid w:val="00C41B05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FEB"/>
    <w:rsid w:val="00C51084"/>
    <w:rsid w:val="00C51C14"/>
    <w:rsid w:val="00C52784"/>
    <w:rsid w:val="00C52DAC"/>
    <w:rsid w:val="00C52ED6"/>
    <w:rsid w:val="00C53117"/>
    <w:rsid w:val="00C53161"/>
    <w:rsid w:val="00C534B2"/>
    <w:rsid w:val="00C538A2"/>
    <w:rsid w:val="00C53B39"/>
    <w:rsid w:val="00C53F0F"/>
    <w:rsid w:val="00C55175"/>
    <w:rsid w:val="00C555B3"/>
    <w:rsid w:val="00C555C1"/>
    <w:rsid w:val="00C55E23"/>
    <w:rsid w:val="00C56E2E"/>
    <w:rsid w:val="00C574D2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0B3"/>
    <w:rsid w:val="00C67453"/>
    <w:rsid w:val="00C70100"/>
    <w:rsid w:val="00C70318"/>
    <w:rsid w:val="00C7092D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4855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F01"/>
    <w:rsid w:val="00CC4684"/>
    <w:rsid w:val="00CC4E1C"/>
    <w:rsid w:val="00CC4F42"/>
    <w:rsid w:val="00CC54CE"/>
    <w:rsid w:val="00CC556C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90B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F55"/>
    <w:rsid w:val="00D5508D"/>
    <w:rsid w:val="00D55417"/>
    <w:rsid w:val="00D55DAA"/>
    <w:rsid w:val="00D57710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EA0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B92"/>
    <w:rsid w:val="00D9026E"/>
    <w:rsid w:val="00D9087B"/>
    <w:rsid w:val="00D90C61"/>
    <w:rsid w:val="00D91245"/>
    <w:rsid w:val="00D91345"/>
    <w:rsid w:val="00D91903"/>
    <w:rsid w:val="00D91D60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3A8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30CE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622D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52"/>
    <w:rsid w:val="00E370F2"/>
    <w:rsid w:val="00E37E9C"/>
    <w:rsid w:val="00E40BF1"/>
    <w:rsid w:val="00E4139E"/>
    <w:rsid w:val="00E42075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644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139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E1D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859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1F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B20"/>
    <w:rsid w:val="00EC7F39"/>
    <w:rsid w:val="00ED047A"/>
    <w:rsid w:val="00ED0959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763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4D8"/>
    <w:rsid w:val="00F52A7E"/>
    <w:rsid w:val="00F52B9E"/>
    <w:rsid w:val="00F52F53"/>
    <w:rsid w:val="00F53134"/>
    <w:rsid w:val="00F5482A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B47C20"/>
  <w15:chartTrackingRefBased/>
  <w15:docId w15:val="{B7DD96C7-4341-40C5-AA69-44576D2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FollowedHyperlink">
    <w:name w:val="FollowedHyperlink"/>
    <w:rsid w:val="00555E3D"/>
    <w:rPr>
      <w:color w:val="954F72"/>
      <w:u w:val="single"/>
    </w:rPr>
  </w:style>
  <w:style w:type="table" w:styleId="TableGrid">
    <w:name w:val="Table Grid"/>
    <w:basedOn w:val="TableNormal"/>
    <w:uiPriority w:val="59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7A4CA9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unhideWhenUsed/>
    <w:rsid w:val="007A4CA9"/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E7685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768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6859"/>
    <w:rPr>
      <w:rFonts w:ascii="Arial" w:hAnsi="Arial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B46C7"/>
    <w:rPr>
      <w:color w:val="808080"/>
    </w:rPr>
  </w:style>
  <w:style w:type="character" w:customStyle="1" w:styleId="CaptionChar">
    <w:name w:val="Caption Char"/>
    <w:link w:val="Caption"/>
    <w:uiPriority w:val="35"/>
    <w:rsid w:val="00415128"/>
    <w:rPr>
      <w:rFonts w:ascii="Arial" w:hAnsi="Arial"/>
      <w:i/>
      <w:iCs/>
      <w:color w:val="44546A" w:themeColor="text2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9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26260v003</b:Tag>
    <b:SourceType>Misc</b:SourceType>
    <b:Guid>{7CEC4897-CAF8-4327-94C0-755F7780F733}</b:Guid>
    <b:Author>
      <b:Author>
        <b:NameList>
          <b:Person>
            <b:Last>Editor</b:Last>
          </b:Person>
        </b:NameList>
      </b:Author>
    </b:Author>
    <b:Title>26.260 v.0.0.3 Objective Test Methodologies for the Evaluation of Immersive Audio Systems</b:Title>
    <b:Year>2017</b:Year>
    <b:City>Albuquerque, New Mexico, USA</b:City>
    <b:Publisher>3GPP TSG SA4</b:Publisher>
    <b:RefOrder>1</b:RefOrder>
  </b:Source>
  <b:Source>
    <b:Tag>Fli99</b:Tag>
    <b:SourceType>Report</b:SourceType>
    <b:Guid>{22D35228-08A4-4324-B279-6068917F6FD5}</b:Guid>
    <b:Title>A two-stage approach for computing cubature formulae for the sphere</b:Title>
    <b:Year>1999</b:Year>
    <b:Author>
      <b:Author>
        <b:NameList>
          <b:Person>
            <b:Last>Fliege</b:Last>
            <b:First>Jorg</b:First>
          </b:Person>
          <b:Person>
            <b:Last>Maier</b:Last>
            <b:First>Ulrike</b:First>
          </b:Person>
        </b:NameList>
      </b:Author>
    </b:Author>
    <b:Publisher>Dortmund University</b:Publisher>
    <b:RefOrder>2</b:RefOrder>
  </b:Source>
</b:Sources>
</file>

<file path=customXml/itemProps1.xml><?xml version="1.0" encoding="utf-8"?>
<ds:datastoreItem xmlns:ds="http://schemas.openxmlformats.org/officeDocument/2006/customXml" ds:itemID="{26A3E3A4-6961-4373-A3EC-B78047E42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Andre Schevciw</dc:creator>
  <cp:keywords/>
  <cp:lastModifiedBy>Andre Schevciw</cp:lastModifiedBy>
  <cp:revision>3</cp:revision>
  <cp:lastPrinted>2016-05-03T09:51:00Z</cp:lastPrinted>
  <dcterms:created xsi:type="dcterms:W3CDTF">2018-01-30T20:25:00Z</dcterms:created>
  <dcterms:modified xsi:type="dcterms:W3CDTF">2018-01-30T21:15:00Z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